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5F" w:rsidRPr="001213E3" w:rsidRDefault="0050525F" w:rsidP="0050525F">
      <w:pPr>
        <w:widowControl w:val="0"/>
        <w:autoSpaceDE w:val="0"/>
        <w:autoSpaceDN w:val="0"/>
        <w:adjustRightInd w:val="0"/>
        <w:spacing w:after="240"/>
        <w:rPr>
          <w:rFonts w:cs="Times"/>
        </w:rPr>
      </w:pPr>
      <w:r w:rsidRPr="001213E3">
        <w:rPr>
          <w:rFonts w:cs="Times"/>
          <w:b/>
          <w:bCs/>
          <w:i/>
          <w:iCs/>
        </w:rPr>
        <w:t>b. Promotion &amp; Tenure based on Teaching</w:t>
      </w:r>
    </w:p>
    <w:p w:rsidR="0050525F" w:rsidRPr="001213E3" w:rsidRDefault="0050525F" w:rsidP="0050525F">
      <w:pPr>
        <w:widowControl w:val="0"/>
        <w:autoSpaceDE w:val="0"/>
        <w:autoSpaceDN w:val="0"/>
        <w:adjustRightInd w:val="0"/>
        <w:spacing w:after="240"/>
        <w:rPr>
          <w:rFonts w:cs="Times"/>
        </w:rPr>
      </w:pPr>
      <w:r w:rsidRPr="001213E3">
        <w:rPr>
          <w:rFonts w:cs="Times"/>
          <w:b/>
          <w:bCs/>
          <w:i/>
          <w:iCs/>
        </w:rPr>
        <w:t>(</w:t>
      </w:r>
      <w:proofErr w:type="gramStart"/>
      <w:r w:rsidRPr="001213E3">
        <w:rPr>
          <w:rFonts w:cs="Times"/>
          <w:b/>
          <w:bCs/>
          <w:i/>
          <w:iCs/>
        </w:rPr>
        <w:t>see</w:t>
      </w:r>
      <w:proofErr w:type="gramEnd"/>
      <w:r w:rsidRPr="001213E3">
        <w:rPr>
          <w:rFonts w:cs="Times"/>
          <w:b/>
          <w:bCs/>
          <w:i/>
          <w:iCs/>
        </w:rPr>
        <w:t xml:space="preserve"> OAA P&amp;T Resources </w:t>
      </w:r>
      <w:r w:rsidR="001213E3" w:rsidRPr="001213E3">
        <w:rPr>
          <w:rFonts w:cs="Times"/>
          <w:b/>
          <w:bCs/>
          <w:i/>
          <w:iCs/>
        </w:rPr>
        <w:t>http://www.ipfw.edu/dotAsset/8e91f4f1-f47c-4ad5-aaaa-7c4c28652fa7.pdf</w:t>
      </w:r>
      <w:r w:rsidRPr="001213E3">
        <w:rPr>
          <w:rFonts w:cs="Times"/>
          <w:b/>
          <w:bCs/>
          <w:i/>
          <w:iCs/>
        </w:rPr>
        <w:t>)</w:t>
      </w:r>
    </w:p>
    <w:p w:rsidR="00F07FD1" w:rsidRDefault="0050525F" w:rsidP="0050525F">
      <w:pPr>
        <w:widowControl w:val="0"/>
        <w:autoSpaceDE w:val="0"/>
        <w:autoSpaceDN w:val="0"/>
        <w:adjustRightInd w:val="0"/>
        <w:spacing w:after="240"/>
        <w:rPr>
          <w:rFonts w:cs="Times New Roman"/>
        </w:rPr>
      </w:pPr>
      <w:r w:rsidRPr="001213E3">
        <w:rPr>
          <w:rFonts w:cs="Times"/>
          <w:b/>
          <w:bCs/>
        </w:rPr>
        <w:t>Teaching</w:t>
      </w:r>
      <w:r w:rsidRPr="001213E3">
        <w:rPr>
          <w:rFonts w:cs="Times New Roman"/>
        </w:rPr>
        <w:t xml:space="preserve">: It is important that the candidate's teaching be assessed by examining a variety of evidence. Such evidence should be drawn from among the following: syllabi, assignments, examinations, and other classroom materials; student evaluations (administered in class or subsequently); evidence of student learning; classroom assessment techniques and their outcomes; contributions to curriculum development; </w:t>
      </w:r>
      <w:r w:rsidR="00DA47D2">
        <w:rPr>
          <w:rFonts w:cs="Times New Roman"/>
        </w:rPr>
        <w:t xml:space="preserve">creation or development of teaching materials; </w:t>
      </w:r>
      <w:r w:rsidRPr="001213E3">
        <w:rPr>
          <w:rFonts w:cs="Times New Roman"/>
        </w:rPr>
        <w:t>pedagogical publications, including textbooks; new course preparations and a record of experimentation in instruction or assessment; contributions to teaching and learning with faculty across campus</w:t>
      </w:r>
      <w:r w:rsidR="00DA47D2">
        <w:rPr>
          <w:rFonts w:cs="Times New Roman"/>
        </w:rPr>
        <w:t xml:space="preserve">; </w:t>
      </w:r>
      <w:r w:rsidR="00787587">
        <w:rPr>
          <w:rFonts w:cs="Times New Roman"/>
        </w:rPr>
        <w:t xml:space="preserve">scholarship of teaching and learning work; </w:t>
      </w:r>
      <w:r w:rsidR="00DA47D2">
        <w:rPr>
          <w:rFonts w:cs="Times New Roman"/>
        </w:rPr>
        <w:t xml:space="preserve">peer review(s) of teaching; </w:t>
      </w:r>
      <w:r w:rsidR="00787587">
        <w:rPr>
          <w:rFonts w:cs="Times New Roman"/>
        </w:rPr>
        <w:t xml:space="preserve">and </w:t>
      </w:r>
      <w:r w:rsidR="00536352">
        <w:rPr>
          <w:rFonts w:cs="Times New Roman"/>
        </w:rPr>
        <w:t xml:space="preserve">attendance </w:t>
      </w:r>
      <w:r w:rsidR="00DA47D2">
        <w:rPr>
          <w:rFonts w:cs="Times New Roman"/>
        </w:rPr>
        <w:t>and presentations on teaching at conferences</w:t>
      </w:r>
      <w:r w:rsidR="00536352">
        <w:rPr>
          <w:rFonts w:cs="Times New Roman"/>
        </w:rPr>
        <w:t xml:space="preserve"> and workshops</w:t>
      </w:r>
      <w:r w:rsidRPr="001213E3">
        <w:rPr>
          <w:rFonts w:cs="Times New Roman"/>
        </w:rPr>
        <w:t>. All peer reviews and student evaluations should be conducted and their results assembled according to Department guidelines and practice. Encouraged for competence or excellence, but not required, are formative peer reviews conducted by any full-time faculty, including reciprocal peer reviews. Also encouraged are summative reviews from outside the department and/or university.</w:t>
      </w:r>
      <w:r w:rsidR="00F07FD1">
        <w:rPr>
          <w:rFonts w:cs="Times New Roman"/>
        </w:rPr>
        <w:t xml:space="preserve">  </w:t>
      </w:r>
    </w:p>
    <w:p w:rsidR="0050525F" w:rsidRPr="001213E3" w:rsidRDefault="00F07FD1" w:rsidP="0050525F">
      <w:pPr>
        <w:widowControl w:val="0"/>
        <w:autoSpaceDE w:val="0"/>
        <w:autoSpaceDN w:val="0"/>
        <w:adjustRightInd w:val="0"/>
        <w:spacing w:after="240"/>
        <w:rPr>
          <w:rFonts w:cs="Times"/>
        </w:rPr>
      </w:pPr>
      <w:r>
        <w:rPr>
          <w:rFonts w:cs="Times New Roman"/>
        </w:rPr>
        <w:t xml:space="preserve">The rationale for the </w:t>
      </w:r>
      <w:r w:rsidR="00760A59">
        <w:rPr>
          <w:rFonts w:cs="Times New Roman"/>
        </w:rPr>
        <w:t xml:space="preserve">qualitative and quantitative </w:t>
      </w:r>
      <w:r>
        <w:rPr>
          <w:rFonts w:cs="Times New Roman"/>
        </w:rPr>
        <w:t xml:space="preserve">criteria below </w:t>
      </w:r>
      <w:r w:rsidR="00760A59">
        <w:rPr>
          <w:rFonts w:cs="Times New Roman"/>
        </w:rPr>
        <w:t xml:space="preserve">meet or exceed </w:t>
      </w:r>
      <w:r w:rsidR="00787587">
        <w:rPr>
          <w:rFonts w:cs="Times New Roman"/>
        </w:rPr>
        <w:t xml:space="preserve">criteria for promotion and tenure </w:t>
      </w:r>
      <w:r>
        <w:rPr>
          <w:rFonts w:cs="Times New Roman"/>
        </w:rPr>
        <w:t xml:space="preserve">from the following: criteria for teaching competence and excellence at peer institutions, criteria for teaching competence and excellence in other departments in the </w:t>
      </w:r>
      <w:r w:rsidR="00787587">
        <w:rPr>
          <w:rFonts w:cs="Times New Roman"/>
        </w:rPr>
        <w:t xml:space="preserve">IPFW </w:t>
      </w:r>
      <w:r>
        <w:rPr>
          <w:rFonts w:cs="Times New Roman"/>
        </w:rPr>
        <w:t xml:space="preserve">College of Arts and Sciences, recommendations from </w:t>
      </w:r>
      <w:r w:rsidR="00787587">
        <w:rPr>
          <w:rFonts w:cs="Times New Roman"/>
        </w:rPr>
        <w:t xml:space="preserve">IPFW </w:t>
      </w:r>
      <w:r>
        <w:rPr>
          <w:rFonts w:cs="Times New Roman"/>
        </w:rPr>
        <w:t xml:space="preserve">Office of Academic Affairs guidelines on documenting teaching, best practices of Indiana University’s Faculty Colloquium on Excellence in Teaching (FACET), and input from </w:t>
      </w:r>
      <w:r w:rsidR="00787587">
        <w:rPr>
          <w:rFonts w:cs="Times New Roman"/>
        </w:rPr>
        <w:t>faculty and committees</w:t>
      </w:r>
      <w:r>
        <w:rPr>
          <w:rFonts w:cs="Times New Roman"/>
        </w:rPr>
        <w:t xml:space="preserve"> in the </w:t>
      </w:r>
      <w:r w:rsidR="00787587">
        <w:rPr>
          <w:rFonts w:cs="Times New Roman"/>
        </w:rPr>
        <w:t xml:space="preserve">IPFW </w:t>
      </w:r>
      <w:r>
        <w:rPr>
          <w:rFonts w:cs="Times New Roman"/>
        </w:rPr>
        <w:t>Department of English and Linguistics.</w:t>
      </w:r>
    </w:p>
    <w:p w:rsidR="00DA47D2" w:rsidRDefault="0050525F" w:rsidP="0050525F">
      <w:pPr>
        <w:widowControl w:val="0"/>
        <w:autoSpaceDE w:val="0"/>
        <w:autoSpaceDN w:val="0"/>
        <w:adjustRightInd w:val="0"/>
        <w:spacing w:after="240"/>
        <w:rPr>
          <w:rFonts w:cs="Times"/>
          <w:b/>
          <w:bCs/>
        </w:rPr>
      </w:pPr>
      <w:r w:rsidRPr="001213E3">
        <w:rPr>
          <w:rFonts w:cs="Times"/>
          <w:b/>
          <w:bCs/>
        </w:rPr>
        <w:t xml:space="preserve">Promotion from Assistant Professor to Associate Professor </w:t>
      </w:r>
    </w:p>
    <w:p w:rsidR="0050525F" w:rsidRPr="001213E3" w:rsidRDefault="0050525F" w:rsidP="00DA47D2">
      <w:pPr>
        <w:widowControl w:val="0"/>
        <w:autoSpaceDE w:val="0"/>
        <w:autoSpaceDN w:val="0"/>
        <w:adjustRightInd w:val="0"/>
        <w:spacing w:after="240"/>
        <w:jc w:val="center"/>
        <w:rPr>
          <w:rFonts w:cs="Times"/>
        </w:rPr>
      </w:pPr>
      <w:r w:rsidRPr="001213E3">
        <w:rPr>
          <w:rFonts w:cs="Times"/>
          <w:b/>
          <w:bCs/>
        </w:rPr>
        <w:t>COMPETENCE</w:t>
      </w:r>
    </w:p>
    <w:p w:rsidR="0050525F" w:rsidRPr="001213E3" w:rsidRDefault="0050525F" w:rsidP="0050525F">
      <w:pPr>
        <w:widowControl w:val="0"/>
        <w:autoSpaceDE w:val="0"/>
        <w:autoSpaceDN w:val="0"/>
        <w:adjustRightInd w:val="0"/>
        <w:spacing w:after="240"/>
        <w:rPr>
          <w:rFonts w:cs="Times"/>
        </w:rPr>
      </w:pPr>
      <w:r w:rsidRPr="001213E3">
        <w:rPr>
          <w:rFonts w:cs="Times New Roman"/>
        </w:rPr>
        <w:t xml:space="preserve">Competence in teaching means effective teaching. Competent teachers thus continue to study their subject matter and the </w:t>
      </w:r>
      <w:r w:rsidR="00B53458">
        <w:rPr>
          <w:rFonts w:cs="Times New Roman"/>
        </w:rPr>
        <w:t>pedagogy</w:t>
      </w:r>
      <w:r w:rsidRPr="001213E3">
        <w:rPr>
          <w:rFonts w:cs="Times New Roman"/>
        </w:rPr>
        <w:t xml:space="preserve"> appropriate to it. </w:t>
      </w:r>
      <w:r w:rsidR="00E822B1">
        <w:rPr>
          <w:rFonts w:cs="Times New Roman"/>
        </w:rPr>
        <w:t xml:space="preserve">Cases demonstrating competency must include input from outside the Department, on or beyond campus. </w:t>
      </w:r>
      <w:r w:rsidRPr="001213E3">
        <w:rPr>
          <w:rFonts w:cs="Times New Roman"/>
        </w:rPr>
        <w:t xml:space="preserve">While the ultimate measure of any teaching is what students learn and what they are inspired to go on to learn, </w:t>
      </w:r>
      <w:r w:rsidR="00B53458">
        <w:rPr>
          <w:rFonts w:cs="Times New Roman"/>
        </w:rPr>
        <w:t>effective teaching also includes reflective and continual effort toward improvement. E</w:t>
      </w:r>
      <w:r w:rsidRPr="001213E3">
        <w:rPr>
          <w:rFonts w:cs="Times New Roman"/>
        </w:rPr>
        <w:t>vidence of competent teaching should include the following:</w:t>
      </w:r>
    </w:p>
    <w:p w:rsidR="00F21D05" w:rsidRPr="00DA47D2" w:rsidRDefault="0050525F" w:rsidP="00DA47D2">
      <w:pPr>
        <w:pStyle w:val="ListParagraph"/>
        <w:widowControl w:val="0"/>
        <w:numPr>
          <w:ilvl w:val="0"/>
          <w:numId w:val="2"/>
        </w:numPr>
        <w:autoSpaceDE w:val="0"/>
        <w:autoSpaceDN w:val="0"/>
        <w:adjustRightInd w:val="0"/>
        <w:spacing w:after="240"/>
        <w:rPr>
          <w:rFonts w:cs="Times New Roman"/>
        </w:rPr>
      </w:pPr>
      <w:r w:rsidRPr="00DA47D2">
        <w:rPr>
          <w:rFonts w:cs="Times New Roman"/>
        </w:rPr>
        <w:t>Carefully prepared classroom materials  </w:t>
      </w:r>
    </w:p>
    <w:p w:rsidR="00C8614C" w:rsidRPr="00E822B1" w:rsidRDefault="0050525F" w:rsidP="00F21D05">
      <w:pPr>
        <w:pStyle w:val="ListParagraph"/>
        <w:widowControl w:val="0"/>
        <w:numPr>
          <w:ilvl w:val="0"/>
          <w:numId w:val="2"/>
        </w:numPr>
        <w:autoSpaceDE w:val="0"/>
        <w:autoSpaceDN w:val="0"/>
        <w:adjustRightInd w:val="0"/>
        <w:spacing w:after="240"/>
        <w:rPr>
          <w:rFonts w:cs="Times"/>
        </w:rPr>
      </w:pPr>
      <w:r w:rsidRPr="00F21D05">
        <w:rPr>
          <w:rFonts w:cs="Times New Roman"/>
        </w:rPr>
        <w:t>At least two summative peer reviews</w:t>
      </w:r>
      <w:bookmarkStart w:id="0" w:name="_GoBack"/>
      <w:bookmarkEnd w:id="0"/>
      <w:r w:rsidRPr="00F21D05">
        <w:rPr>
          <w:rFonts w:cs="Times New Roman"/>
        </w:rPr>
        <w:t xml:space="preserve"> </w:t>
      </w:r>
      <w:r w:rsidR="00AB423A">
        <w:rPr>
          <w:rFonts w:cs="Times New Roman"/>
        </w:rPr>
        <w:t>that</w:t>
      </w:r>
      <w:r w:rsidR="00AB423A" w:rsidRPr="00F21D05">
        <w:rPr>
          <w:rFonts w:cs="Times New Roman"/>
        </w:rPr>
        <w:t xml:space="preserve"> </w:t>
      </w:r>
      <w:r w:rsidRPr="00F21D05">
        <w:rPr>
          <w:rFonts w:cs="Times New Roman"/>
        </w:rPr>
        <w:t>include a</w:t>
      </w:r>
      <w:r w:rsidR="00DA47D2" w:rsidRPr="00F21D05">
        <w:rPr>
          <w:rFonts w:cs="Times New Roman"/>
        </w:rPr>
        <w:t xml:space="preserve"> </w:t>
      </w:r>
      <w:r w:rsidRPr="00F21D05">
        <w:rPr>
          <w:rFonts w:cs="Times New Roman"/>
        </w:rPr>
        <w:t xml:space="preserve">thorough review of selected course materials, pre-observation </w:t>
      </w:r>
      <w:r w:rsidR="00DA47D2" w:rsidRPr="00E822B1">
        <w:rPr>
          <w:rFonts w:cs="Times New Roman"/>
        </w:rPr>
        <w:t xml:space="preserve">discussion, </w:t>
      </w:r>
      <w:r w:rsidR="00DA47D2" w:rsidRPr="00E822B1">
        <w:rPr>
          <w:rFonts w:cs="Times New Roman"/>
        </w:rPr>
        <w:lastRenderedPageBreak/>
        <w:t>classroom</w:t>
      </w:r>
      <w:r w:rsidRPr="00E822B1">
        <w:rPr>
          <w:rFonts w:cs="Times New Roman"/>
        </w:rPr>
        <w:t xml:space="preserve"> observation, and post-observation discussion</w:t>
      </w:r>
      <w:r w:rsidR="00AB423A">
        <w:rPr>
          <w:rFonts w:cs="Times New Roman"/>
        </w:rPr>
        <w:t xml:space="preserve"> and are </w:t>
      </w:r>
      <w:r w:rsidR="00B77DDE">
        <w:rPr>
          <w:rFonts w:cs="Times New Roman"/>
        </w:rPr>
        <w:t>conducted by tenured faculty or faculty trained in peer review procedures</w:t>
      </w:r>
      <w:r w:rsidRPr="00E822B1">
        <w:rPr>
          <w:rFonts w:cs="Times New Roman"/>
        </w:rPr>
        <w:t>]</w:t>
      </w:r>
    </w:p>
    <w:p w:rsidR="0050525F" w:rsidRPr="00DA47D2" w:rsidRDefault="00F21D05" w:rsidP="00DA47D2">
      <w:pPr>
        <w:pStyle w:val="ListParagraph"/>
        <w:widowControl w:val="0"/>
        <w:numPr>
          <w:ilvl w:val="0"/>
          <w:numId w:val="4"/>
        </w:numPr>
        <w:autoSpaceDE w:val="0"/>
        <w:autoSpaceDN w:val="0"/>
        <w:adjustRightInd w:val="0"/>
        <w:spacing w:after="240"/>
        <w:rPr>
          <w:rFonts w:cs="Times"/>
        </w:rPr>
      </w:pPr>
      <w:r>
        <w:rPr>
          <w:rFonts w:cs="Times New Roman"/>
        </w:rPr>
        <w:t>Acceptable s</w:t>
      </w:r>
      <w:r w:rsidR="0050525F" w:rsidRPr="00DA47D2">
        <w:rPr>
          <w:rFonts w:cs="Times New Roman"/>
        </w:rPr>
        <w:t>tudent evaluations administered as per departmental guidelines</w:t>
      </w:r>
    </w:p>
    <w:p w:rsidR="00C8614C" w:rsidRDefault="0050525F" w:rsidP="0050525F">
      <w:pPr>
        <w:widowControl w:val="0"/>
        <w:autoSpaceDE w:val="0"/>
        <w:autoSpaceDN w:val="0"/>
        <w:adjustRightInd w:val="0"/>
        <w:spacing w:after="240"/>
        <w:rPr>
          <w:rFonts w:cs="Times New Roman"/>
        </w:rPr>
      </w:pPr>
      <w:r w:rsidRPr="001213E3">
        <w:rPr>
          <w:rFonts w:cs="Times New Roman"/>
        </w:rPr>
        <w:t xml:space="preserve">In addition, the following materials (list not exhaustive) may be included: </w:t>
      </w:r>
    </w:p>
    <w:p w:rsidR="0050525F" w:rsidRPr="00A14929" w:rsidRDefault="0050525F" w:rsidP="00A14929">
      <w:pPr>
        <w:pStyle w:val="ListParagraph"/>
        <w:widowControl w:val="0"/>
        <w:numPr>
          <w:ilvl w:val="0"/>
          <w:numId w:val="5"/>
        </w:numPr>
        <w:autoSpaceDE w:val="0"/>
        <w:autoSpaceDN w:val="0"/>
        <w:adjustRightInd w:val="0"/>
        <w:spacing w:after="240"/>
        <w:rPr>
          <w:rFonts w:cs="Times"/>
        </w:rPr>
      </w:pPr>
      <w:r w:rsidRPr="00A14929">
        <w:rPr>
          <w:rFonts w:cs="Times New Roman"/>
        </w:rPr>
        <w:t>Results of various means of teaching assessment</w:t>
      </w:r>
    </w:p>
    <w:p w:rsidR="0050525F" w:rsidRPr="00A14929" w:rsidRDefault="0050525F" w:rsidP="00A14929">
      <w:pPr>
        <w:pStyle w:val="ListParagraph"/>
        <w:widowControl w:val="0"/>
        <w:numPr>
          <w:ilvl w:val="0"/>
          <w:numId w:val="5"/>
        </w:numPr>
        <w:autoSpaceDE w:val="0"/>
        <w:autoSpaceDN w:val="0"/>
        <w:adjustRightInd w:val="0"/>
        <w:spacing w:after="240"/>
        <w:rPr>
          <w:rFonts w:cs="Times"/>
        </w:rPr>
      </w:pPr>
      <w:r w:rsidRPr="00A14929">
        <w:rPr>
          <w:rFonts w:cs="Times New Roman"/>
        </w:rPr>
        <w:t>Pedagogical publications and presentations (</w:t>
      </w:r>
      <w:r w:rsidR="00A14929">
        <w:rPr>
          <w:rFonts w:cs="Times New Roman"/>
        </w:rPr>
        <w:t>p</w:t>
      </w:r>
      <w:r w:rsidRPr="00A14929">
        <w:rPr>
          <w:rFonts w:cs="Times New Roman"/>
        </w:rPr>
        <w:t>edagogical publications involving research may also be counted for research)</w:t>
      </w:r>
    </w:p>
    <w:p w:rsidR="0050525F" w:rsidRPr="00B53458" w:rsidRDefault="0050525F" w:rsidP="00B53458">
      <w:pPr>
        <w:pStyle w:val="ListParagraph"/>
        <w:widowControl w:val="0"/>
        <w:numPr>
          <w:ilvl w:val="0"/>
          <w:numId w:val="5"/>
        </w:numPr>
        <w:autoSpaceDE w:val="0"/>
        <w:autoSpaceDN w:val="0"/>
        <w:adjustRightInd w:val="0"/>
        <w:spacing w:after="240"/>
        <w:rPr>
          <w:rFonts w:cs="Times"/>
        </w:rPr>
      </w:pPr>
      <w:r w:rsidRPr="00A14929">
        <w:rPr>
          <w:rFonts w:cs="Times New Roman"/>
        </w:rPr>
        <w:t>Results of curricular development or other attempts to enrich student learning</w:t>
      </w:r>
    </w:p>
    <w:p w:rsidR="00A14929" w:rsidRPr="00A14929" w:rsidRDefault="0050525F" w:rsidP="00A14929">
      <w:pPr>
        <w:pStyle w:val="ListParagraph"/>
        <w:widowControl w:val="0"/>
        <w:numPr>
          <w:ilvl w:val="0"/>
          <w:numId w:val="6"/>
        </w:numPr>
        <w:autoSpaceDE w:val="0"/>
        <w:autoSpaceDN w:val="0"/>
        <w:adjustRightInd w:val="0"/>
        <w:spacing w:after="240"/>
        <w:rPr>
          <w:rFonts w:cs="Times New Roman"/>
        </w:rPr>
      </w:pPr>
      <w:r w:rsidRPr="00A14929">
        <w:rPr>
          <w:rFonts w:cs="Times New Roman"/>
        </w:rPr>
        <w:t xml:space="preserve">Formative peer reviews, including reciprocal peer reviews </w:t>
      </w:r>
    </w:p>
    <w:p w:rsidR="0050525F" w:rsidRPr="001213E3" w:rsidRDefault="0050525F" w:rsidP="00A14929">
      <w:pPr>
        <w:widowControl w:val="0"/>
        <w:autoSpaceDE w:val="0"/>
        <w:autoSpaceDN w:val="0"/>
        <w:adjustRightInd w:val="0"/>
        <w:spacing w:after="240"/>
        <w:jc w:val="center"/>
        <w:rPr>
          <w:rFonts w:cs="Times"/>
        </w:rPr>
      </w:pPr>
      <w:r w:rsidRPr="001213E3">
        <w:rPr>
          <w:rFonts w:cs="Times"/>
          <w:b/>
          <w:bCs/>
        </w:rPr>
        <w:t>EXCELLENCE</w:t>
      </w:r>
    </w:p>
    <w:p w:rsidR="0050525F" w:rsidRPr="001213E3" w:rsidRDefault="0050525F" w:rsidP="0050525F">
      <w:pPr>
        <w:widowControl w:val="0"/>
        <w:autoSpaceDE w:val="0"/>
        <w:autoSpaceDN w:val="0"/>
        <w:adjustRightInd w:val="0"/>
        <w:spacing w:after="240"/>
        <w:rPr>
          <w:rFonts w:cs="Times"/>
        </w:rPr>
      </w:pPr>
      <w:r w:rsidRPr="001213E3">
        <w:rPr>
          <w:rFonts w:cs="Times New Roman"/>
        </w:rPr>
        <w:t xml:space="preserve">Excellence in teaching means communicating with and inspiring students markedly beyond the standards of competence. </w:t>
      </w:r>
      <w:r w:rsidR="00E822B1">
        <w:rPr>
          <w:rFonts w:cs="Times New Roman"/>
        </w:rPr>
        <w:t xml:space="preserve">Cases based on excellence in teaching must include input from outside IPFW.  </w:t>
      </w:r>
      <w:r w:rsidR="00F21D05">
        <w:rPr>
          <w:rFonts w:cs="Times New Roman"/>
        </w:rPr>
        <w:t>C</w:t>
      </w:r>
      <w:r w:rsidRPr="001213E3">
        <w:rPr>
          <w:rFonts w:cs="Times New Roman"/>
        </w:rPr>
        <w:t xml:space="preserve">ases based on excellence in teaching should require, </w:t>
      </w:r>
      <w:r w:rsidRPr="001213E3">
        <w:rPr>
          <w:rFonts w:cs="Times"/>
          <w:b/>
          <w:bCs/>
        </w:rPr>
        <w:t>in addition to requirements for competency</w:t>
      </w:r>
      <w:r w:rsidRPr="001213E3">
        <w:rPr>
          <w:rFonts w:cs="Times New Roman"/>
        </w:rPr>
        <w:t>:</w:t>
      </w:r>
    </w:p>
    <w:p w:rsidR="0050525F" w:rsidRPr="00F21D05" w:rsidRDefault="0050525F" w:rsidP="00F21D05">
      <w:pPr>
        <w:pStyle w:val="ListParagraph"/>
        <w:widowControl w:val="0"/>
        <w:numPr>
          <w:ilvl w:val="0"/>
          <w:numId w:val="6"/>
        </w:numPr>
        <w:autoSpaceDE w:val="0"/>
        <w:autoSpaceDN w:val="0"/>
        <w:adjustRightInd w:val="0"/>
        <w:spacing w:after="240"/>
        <w:rPr>
          <w:rFonts w:cs="Times"/>
        </w:rPr>
      </w:pPr>
      <w:r w:rsidRPr="00F21D05">
        <w:rPr>
          <w:rFonts w:cs="Times New Roman"/>
        </w:rPr>
        <w:t>Course and/or curriculum design, redesign</w:t>
      </w:r>
      <w:r w:rsidR="00F21D05">
        <w:rPr>
          <w:rFonts w:cs="Times New Roman"/>
        </w:rPr>
        <w:t>,</w:t>
      </w:r>
      <w:r w:rsidRPr="00F21D05">
        <w:rPr>
          <w:rFonts w:cs="Times New Roman"/>
        </w:rPr>
        <w:t xml:space="preserve"> and consistent improvement of course materials</w:t>
      </w:r>
    </w:p>
    <w:p w:rsidR="00F21D05" w:rsidRDefault="0050525F" w:rsidP="00F21D05">
      <w:pPr>
        <w:pStyle w:val="ListParagraph"/>
        <w:widowControl w:val="0"/>
        <w:numPr>
          <w:ilvl w:val="0"/>
          <w:numId w:val="6"/>
        </w:numPr>
        <w:autoSpaceDE w:val="0"/>
        <w:autoSpaceDN w:val="0"/>
        <w:adjustRightInd w:val="0"/>
        <w:spacing w:after="240"/>
        <w:rPr>
          <w:rFonts w:cs="Courier New"/>
        </w:rPr>
      </w:pPr>
      <w:r w:rsidRPr="001213E3">
        <w:rPr>
          <w:rFonts w:cs="Times New Roman"/>
        </w:rPr>
        <w:t>Productive reflections on student feedback </w:t>
      </w:r>
    </w:p>
    <w:p w:rsidR="00F21D05" w:rsidRPr="00F21D05" w:rsidRDefault="0050525F" w:rsidP="00F21D05">
      <w:pPr>
        <w:pStyle w:val="ListParagraph"/>
        <w:widowControl w:val="0"/>
        <w:numPr>
          <w:ilvl w:val="0"/>
          <w:numId w:val="6"/>
        </w:numPr>
        <w:autoSpaceDE w:val="0"/>
        <w:autoSpaceDN w:val="0"/>
        <w:adjustRightInd w:val="0"/>
        <w:spacing w:after="240"/>
        <w:rPr>
          <w:rFonts w:cs="Courier New"/>
        </w:rPr>
      </w:pPr>
      <w:r w:rsidRPr="001213E3">
        <w:rPr>
          <w:rFonts w:cs="Times New Roman"/>
        </w:rPr>
        <w:t>Three summative peer reviews (inclusive of the</w:t>
      </w:r>
      <w:r w:rsidR="00F21D05">
        <w:rPr>
          <w:rFonts w:cs="Times New Roman"/>
        </w:rPr>
        <w:t xml:space="preserve"> </w:t>
      </w:r>
      <w:r w:rsidRPr="001213E3">
        <w:rPr>
          <w:rFonts w:cs="Times New Roman"/>
        </w:rPr>
        <w:t>peer reviews for competency), at least one of which must be a multi- semester</w:t>
      </w:r>
      <w:r w:rsidR="00F21D05">
        <w:rPr>
          <w:rFonts w:cs="Times New Roman"/>
        </w:rPr>
        <w:t xml:space="preserve"> </w:t>
      </w:r>
      <w:r w:rsidRPr="00F21D05">
        <w:rPr>
          <w:rFonts w:cs="Times New Roman"/>
        </w:rPr>
        <w:t>longitudinal review </w:t>
      </w:r>
    </w:p>
    <w:p w:rsidR="00F21D05" w:rsidRPr="00F21D05" w:rsidRDefault="0050525F" w:rsidP="00F21D05">
      <w:pPr>
        <w:pStyle w:val="ListParagraph"/>
        <w:widowControl w:val="0"/>
        <w:numPr>
          <w:ilvl w:val="0"/>
          <w:numId w:val="6"/>
        </w:numPr>
        <w:autoSpaceDE w:val="0"/>
        <w:autoSpaceDN w:val="0"/>
        <w:adjustRightInd w:val="0"/>
        <w:spacing w:after="240"/>
        <w:rPr>
          <w:rFonts w:cs="Times New Roman"/>
        </w:rPr>
      </w:pPr>
      <w:r w:rsidRPr="00F21D05">
        <w:rPr>
          <w:rFonts w:cs="Times New Roman"/>
        </w:rPr>
        <w:t>Fostering teaching with other faculty within and beyond the department </w:t>
      </w:r>
    </w:p>
    <w:p w:rsidR="00F21D05" w:rsidRPr="00F21D05" w:rsidRDefault="0050525F" w:rsidP="00F21D05">
      <w:pPr>
        <w:pStyle w:val="ListParagraph"/>
        <w:widowControl w:val="0"/>
        <w:numPr>
          <w:ilvl w:val="0"/>
          <w:numId w:val="6"/>
        </w:numPr>
        <w:autoSpaceDE w:val="0"/>
        <w:autoSpaceDN w:val="0"/>
        <w:adjustRightInd w:val="0"/>
        <w:spacing w:after="240"/>
        <w:rPr>
          <w:rFonts w:cs="Courier New"/>
        </w:rPr>
      </w:pPr>
      <w:r w:rsidRPr="00F21D05">
        <w:rPr>
          <w:rFonts w:cs="Times New Roman"/>
        </w:rPr>
        <w:t>Participation in organizations promoting the scholarship of teaching </w:t>
      </w:r>
    </w:p>
    <w:p w:rsidR="00F21D05" w:rsidRPr="00F21D05" w:rsidRDefault="0050525F" w:rsidP="00F21D05">
      <w:pPr>
        <w:pStyle w:val="ListParagraph"/>
        <w:widowControl w:val="0"/>
        <w:numPr>
          <w:ilvl w:val="0"/>
          <w:numId w:val="6"/>
        </w:numPr>
        <w:autoSpaceDE w:val="0"/>
        <w:autoSpaceDN w:val="0"/>
        <w:adjustRightInd w:val="0"/>
        <w:spacing w:after="240"/>
        <w:rPr>
          <w:rFonts w:cs="Times New Roman"/>
        </w:rPr>
      </w:pPr>
      <w:r w:rsidRPr="00F21D05">
        <w:rPr>
          <w:rFonts w:cs="Times New Roman"/>
        </w:rPr>
        <w:t xml:space="preserve">Presentations and/or workshops on teaching at local, regional and </w:t>
      </w:r>
      <w:r w:rsidR="00F21D05" w:rsidRPr="00F21D05">
        <w:rPr>
          <w:rFonts w:cs="Times New Roman"/>
        </w:rPr>
        <w:t>national conferences</w:t>
      </w:r>
      <w:r w:rsidRPr="00F21D05">
        <w:rPr>
          <w:rFonts w:cs="Times New Roman"/>
        </w:rPr>
        <w:t> </w:t>
      </w:r>
    </w:p>
    <w:p w:rsidR="0050525F" w:rsidRPr="001213E3" w:rsidRDefault="0050525F" w:rsidP="0050525F">
      <w:pPr>
        <w:widowControl w:val="0"/>
        <w:autoSpaceDE w:val="0"/>
        <w:autoSpaceDN w:val="0"/>
        <w:adjustRightInd w:val="0"/>
        <w:spacing w:after="240"/>
        <w:rPr>
          <w:rFonts w:cs="Times"/>
        </w:rPr>
      </w:pPr>
      <w:r w:rsidRPr="001213E3">
        <w:rPr>
          <w:rFonts w:cs="Times New Roman"/>
        </w:rPr>
        <w:t>Evidence of excellence (list not exhaustive) in teaching might also include:</w:t>
      </w:r>
    </w:p>
    <w:p w:rsidR="00F21D05" w:rsidRPr="00F21D05" w:rsidRDefault="0050525F" w:rsidP="00F21D05">
      <w:pPr>
        <w:pStyle w:val="ListParagraph"/>
        <w:widowControl w:val="0"/>
        <w:numPr>
          <w:ilvl w:val="0"/>
          <w:numId w:val="7"/>
        </w:numPr>
        <w:autoSpaceDE w:val="0"/>
        <w:autoSpaceDN w:val="0"/>
        <w:adjustRightInd w:val="0"/>
        <w:spacing w:after="240"/>
        <w:rPr>
          <w:rFonts w:cs="Courier New"/>
        </w:rPr>
      </w:pPr>
      <w:r w:rsidRPr="00F21D05">
        <w:rPr>
          <w:rFonts w:cs="Times New Roman"/>
        </w:rPr>
        <w:t>Evidence of outstanding student learning</w:t>
      </w:r>
    </w:p>
    <w:p w:rsidR="00F21D05" w:rsidRPr="00F21D05" w:rsidRDefault="0050525F" w:rsidP="00F21D05">
      <w:pPr>
        <w:pStyle w:val="ListParagraph"/>
        <w:widowControl w:val="0"/>
        <w:numPr>
          <w:ilvl w:val="0"/>
          <w:numId w:val="7"/>
        </w:numPr>
        <w:autoSpaceDE w:val="0"/>
        <w:autoSpaceDN w:val="0"/>
        <w:adjustRightInd w:val="0"/>
        <w:spacing w:after="240"/>
        <w:rPr>
          <w:rFonts w:cs="Courier New"/>
        </w:rPr>
      </w:pPr>
      <w:r w:rsidRPr="00F21D05">
        <w:rPr>
          <w:rFonts w:cs="Times New Roman"/>
        </w:rPr>
        <w:t>Significant pedagogically related publications</w:t>
      </w:r>
    </w:p>
    <w:p w:rsidR="00F21D05" w:rsidRPr="00F21D05" w:rsidRDefault="0050525F" w:rsidP="00F21D05">
      <w:pPr>
        <w:pStyle w:val="ListParagraph"/>
        <w:widowControl w:val="0"/>
        <w:numPr>
          <w:ilvl w:val="0"/>
          <w:numId w:val="7"/>
        </w:numPr>
        <w:autoSpaceDE w:val="0"/>
        <w:autoSpaceDN w:val="0"/>
        <w:adjustRightInd w:val="0"/>
        <w:spacing w:after="240"/>
        <w:rPr>
          <w:rFonts w:cs="Courier New"/>
        </w:rPr>
      </w:pPr>
      <w:r w:rsidRPr="00B77DDE">
        <w:rPr>
          <w:rFonts w:cs="Times New Roman"/>
        </w:rPr>
        <w:t>Exceptional and original classroom materials</w:t>
      </w:r>
    </w:p>
    <w:p w:rsidR="00F21D05" w:rsidRPr="00F21D05" w:rsidRDefault="0050525F" w:rsidP="00F21D05">
      <w:pPr>
        <w:pStyle w:val="ListParagraph"/>
        <w:widowControl w:val="0"/>
        <w:numPr>
          <w:ilvl w:val="0"/>
          <w:numId w:val="7"/>
        </w:numPr>
        <w:autoSpaceDE w:val="0"/>
        <w:autoSpaceDN w:val="0"/>
        <w:adjustRightInd w:val="0"/>
        <w:spacing w:after="240"/>
        <w:rPr>
          <w:rFonts w:cs="Courier New"/>
        </w:rPr>
      </w:pPr>
      <w:r w:rsidRPr="00B77DDE">
        <w:rPr>
          <w:rFonts w:cs="Times New Roman"/>
        </w:rPr>
        <w:t>Recognized student achievements</w:t>
      </w:r>
    </w:p>
    <w:p w:rsidR="00F21D05" w:rsidRPr="00F21D05" w:rsidRDefault="0050525F" w:rsidP="00F21D05">
      <w:pPr>
        <w:pStyle w:val="ListParagraph"/>
        <w:widowControl w:val="0"/>
        <w:numPr>
          <w:ilvl w:val="0"/>
          <w:numId w:val="7"/>
        </w:numPr>
        <w:autoSpaceDE w:val="0"/>
        <w:autoSpaceDN w:val="0"/>
        <w:adjustRightInd w:val="0"/>
        <w:spacing w:after="240"/>
        <w:rPr>
          <w:rFonts w:cs="Courier New"/>
        </w:rPr>
      </w:pPr>
      <w:r w:rsidRPr="00B77DDE">
        <w:rPr>
          <w:rFonts w:cs="Times New Roman"/>
        </w:rPr>
        <w:t>Internal and/or external recognition and/or awards for teaching</w:t>
      </w:r>
    </w:p>
    <w:p w:rsidR="00F21D05" w:rsidRPr="00F21D05" w:rsidRDefault="0050525F" w:rsidP="00F21D05">
      <w:pPr>
        <w:pStyle w:val="ListParagraph"/>
        <w:widowControl w:val="0"/>
        <w:numPr>
          <w:ilvl w:val="0"/>
          <w:numId w:val="7"/>
        </w:numPr>
        <w:autoSpaceDE w:val="0"/>
        <w:autoSpaceDN w:val="0"/>
        <w:adjustRightInd w:val="0"/>
        <w:spacing w:after="240"/>
        <w:rPr>
          <w:rFonts w:cs="Courier New"/>
        </w:rPr>
      </w:pPr>
      <w:r w:rsidRPr="00B77DDE">
        <w:rPr>
          <w:rFonts w:cs="Times New Roman"/>
        </w:rPr>
        <w:t>Former student letters and/or surveys attesting to teaching effectiveness</w:t>
      </w:r>
    </w:p>
    <w:p w:rsidR="0050525F" w:rsidRPr="00F21D05" w:rsidRDefault="0050525F" w:rsidP="00F21D05">
      <w:pPr>
        <w:pStyle w:val="ListParagraph"/>
        <w:widowControl w:val="0"/>
        <w:numPr>
          <w:ilvl w:val="0"/>
          <w:numId w:val="7"/>
        </w:numPr>
        <w:autoSpaceDE w:val="0"/>
        <w:autoSpaceDN w:val="0"/>
        <w:adjustRightInd w:val="0"/>
        <w:spacing w:after="240"/>
        <w:rPr>
          <w:rFonts w:cs="Times"/>
        </w:rPr>
      </w:pPr>
      <w:r w:rsidRPr="00B77DDE">
        <w:rPr>
          <w:rFonts w:cs="Times New Roman"/>
        </w:rPr>
        <w:t>Mentoring of colleagues and students</w:t>
      </w:r>
    </w:p>
    <w:p w:rsidR="0050525F" w:rsidRPr="001213E3" w:rsidRDefault="0050525F" w:rsidP="0050525F">
      <w:pPr>
        <w:widowControl w:val="0"/>
        <w:autoSpaceDE w:val="0"/>
        <w:autoSpaceDN w:val="0"/>
        <w:adjustRightInd w:val="0"/>
        <w:spacing w:after="240"/>
        <w:rPr>
          <w:rFonts w:cs="Times"/>
        </w:rPr>
      </w:pPr>
      <w:r w:rsidRPr="001213E3">
        <w:rPr>
          <w:rFonts w:cs="Times"/>
          <w:b/>
          <w:bCs/>
        </w:rPr>
        <w:t>Promotion from Associate to Full Professor</w:t>
      </w:r>
    </w:p>
    <w:p w:rsidR="0050525F" w:rsidRPr="001213E3" w:rsidRDefault="0050525F" w:rsidP="0050525F">
      <w:pPr>
        <w:widowControl w:val="0"/>
        <w:autoSpaceDE w:val="0"/>
        <w:autoSpaceDN w:val="0"/>
        <w:adjustRightInd w:val="0"/>
        <w:spacing w:after="240"/>
        <w:rPr>
          <w:rFonts w:cs="Times"/>
        </w:rPr>
      </w:pPr>
      <w:r w:rsidRPr="001213E3">
        <w:rPr>
          <w:rFonts w:cs="Times New Roman"/>
        </w:rPr>
        <w:t>As a criterion for cases of promotion to professor based on teaching, excellence in teaching should have been demonstrated over an extended period and include recognition</w:t>
      </w:r>
      <w:r w:rsidR="00787587">
        <w:rPr>
          <w:rFonts w:cs="Times New Roman"/>
        </w:rPr>
        <w:t xml:space="preserve"> for teaching and pedagogical work</w:t>
      </w:r>
      <w:r w:rsidRPr="001213E3">
        <w:rPr>
          <w:rFonts w:cs="Times New Roman"/>
        </w:rPr>
        <w:t xml:space="preserve"> </w:t>
      </w:r>
      <w:r w:rsidR="00787587">
        <w:rPr>
          <w:rFonts w:cs="Times New Roman"/>
        </w:rPr>
        <w:t xml:space="preserve">outside IPFW appropriate to a </w:t>
      </w:r>
      <w:r w:rsidR="00787587">
        <w:rPr>
          <w:rFonts w:cs="Times New Roman"/>
        </w:rPr>
        <w:lastRenderedPageBreak/>
        <w:t>faculty member at a regional comprehensive campus</w:t>
      </w:r>
      <w:r w:rsidRPr="001213E3">
        <w:rPr>
          <w:rFonts w:cs="Times New Roman"/>
        </w:rPr>
        <w:t>.</w:t>
      </w:r>
      <w:r w:rsidR="00E822B1">
        <w:rPr>
          <w:rFonts w:cs="Times New Roman"/>
        </w:rPr>
        <w:t xml:space="preserve">  </w:t>
      </w:r>
    </w:p>
    <w:p w:rsidR="0050525F" w:rsidRPr="001213E3" w:rsidRDefault="0050525F" w:rsidP="00657CC6">
      <w:pPr>
        <w:widowControl w:val="0"/>
        <w:autoSpaceDE w:val="0"/>
        <w:autoSpaceDN w:val="0"/>
        <w:adjustRightInd w:val="0"/>
        <w:spacing w:after="240"/>
        <w:jc w:val="center"/>
        <w:rPr>
          <w:rFonts w:cs="Times"/>
        </w:rPr>
      </w:pPr>
      <w:r w:rsidRPr="001213E3">
        <w:rPr>
          <w:rFonts w:cs="Times"/>
          <w:b/>
          <w:bCs/>
        </w:rPr>
        <w:t>COMPETENCE</w:t>
      </w:r>
    </w:p>
    <w:p w:rsidR="00F72269" w:rsidRPr="001213E3" w:rsidRDefault="0050525F" w:rsidP="0050525F">
      <w:pPr>
        <w:widowControl w:val="0"/>
        <w:autoSpaceDE w:val="0"/>
        <w:autoSpaceDN w:val="0"/>
        <w:adjustRightInd w:val="0"/>
        <w:spacing w:after="240"/>
        <w:rPr>
          <w:rFonts w:cs="Times"/>
        </w:rPr>
      </w:pPr>
      <w:r w:rsidRPr="001213E3">
        <w:rPr>
          <w:rFonts w:cs="Times New Roman"/>
        </w:rPr>
        <w:t xml:space="preserve">Competence in teaching means effective teaching. Competent teachers thus continue to study their subject matter and the teaching methods appropriate to it. </w:t>
      </w:r>
      <w:r w:rsidR="00E822B1">
        <w:rPr>
          <w:rFonts w:cs="Times New Roman"/>
        </w:rPr>
        <w:t xml:space="preserve">Cases demonstrating competency must include input from outside the Department, on or beyond campus. </w:t>
      </w:r>
      <w:r w:rsidRPr="001213E3">
        <w:rPr>
          <w:rFonts w:cs="Times New Roman"/>
        </w:rPr>
        <w:t>While the ultimate measure of any teaching is what students learn and what they are inspired to go on to learn, more tangible evidence of competent teaching should include the following:</w:t>
      </w:r>
    </w:p>
    <w:p w:rsidR="00F72269" w:rsidRPr="00DA47D2" w:rsidRDefault="00F72269" w:rsidP="00F72269">
      <w:pPr>
        <w:pStyle w:val="ListParagraph"/>
        <w:widowControl w:val="0"/>
        <w:numPr>
          <w:ilvl w:val="0"/>
          <w:numId w:val="2"/>
        </w:numPr>
        <w:autoSpaceDE w:val="0"/>
        <w:autoSpaceDN w:val="0"/>
        <w:adjustRightInd w:val="0"/>
        <w:spacing w:after="240"/>
        <w:rPr>
          <w:rFonts w:cs="Times New Roman"/>
        </w:rPr>
      </w:pPr>
      <w:r w:rsidRPr="00DA47D2">
        <w:rPr>
          <w:rFonts w:cs="Times New Roman"/>
        </w:rPr>
        <w:t>Carefully prepared classroom materials  </w:t>
      </w:r>
    </w:p>
    <w:p w:rsidR="00F72269" w:rsidRPr="00B35E1F" w:rsidRDefault="00F72269" w:rsidP="00F72269">
      <w:pPr>
        <w:pStyle w:val="ListParagraph"/>
        <w:widowControl w:val="0"/>
        <w:numPr>
          <w:ilvl w:val="0"/>
          <w:numId w:val="2"/>
        </w:numPr>
        <w:autoSpaceDE w:val="0"/>
        <w:autoSpaceDN w:val="0"/>
        <w:adjustRightInd w:val="0"/>
        <w:spacing w:after="240"/>
        <w:rPr>
          <w:rFonts w:cs="Times"/>
        </w:rPr>
      </w:pPr>
      <w:r w:rsidRPr="00F21D05">
        <w:rPr>
          <w:rFonts w:cs="Times New Roman"/>
        </w:rPr>
        <w:t xml:space="preserve">At least two summative peer reviews </w:t>
      </w:r>
      <w:r w:rsidR="00AB423A">
        <w:rPr>
          <w:rFonts w:cs="Times New Roman"/>
        </w:rPr>
        <w:t>that</w:t>
      </w:r>
      <w:r w:rsidR="00AB423A" w:rsidRPr="00F21D05">
        <w:rPr>
          <w:rFonts w:cs="Times New Roman"/>
        </w:rPr>
        <w:t xml:space="preserve"> </w:t>
      </w:r>
      <w:r w:rsidRPr="00F21D05">
        <w:rPr>
          <w:rFonts w:cs="Times New Roman"/>
        </w:rPr>
        <w:t xml:space="preserve">include a thorough review of selected course materials, pre-observation </w:t>
      </w:r>
      <w:r w:rsidRPr="00B35E1F">
        <w:rPr>
          <w:rFonts w:cs="Times New Roman"/>
        </w:rPr>
        <w:t>discussion, classroom observation, and post-observation discussion</w:t>
      </w:r>
      <w:r w:rsidR="00AB423A">
        <w:rPr>
          <w:rFonts w:cs="Times New Roman"/>
        </w:rPr>
        <w:t xml:space="preserve"> </w:t>
      </w:r>
      <w:r w:rsidR="00AB423A" w:rsidRPr="00AB423A">
        <w:rPr>
          <w:rFonts w:cs="Times New Roman"/>
          <w:color w:val="FF0000"/>
        </w:rPr>
        <w:t>and are conducted by tenured faculty or faculty trained in peer review procedures</w:t>
      </w:r>
      <w:r w:rsidRPr="00B35E1F">
        <w:rPr>
          <w:rFonts w:cs="Times New Roman"/>
        </w:rPr>
        <w:t>]</w:t>
      </w:r>
    </w:p>
    <w:p w:rsidR="00F72269" w:rsidRPr="00DA47D2" w:rsidRDefault="00F72269" w:rsidP="00F72269">
      <w:pPr>
        <w:pStyle w:val="ListParagraph"/>
        <w:widowControl w:val="0"/>
        <w:numPr>
          <w:ilvl w:val="0"/>
          <w:numId w:val="4"/>
        </w:numPr>
        <w:autoSpaceDE w:val="0"/>
        <w:autoSpaceDN w:val="0"/>
        <w:adjustRightInd w:val="0"/>
        <w:spacing w:after="240"/>
        <w:rPr>
          <w:rFonts w:cs="Times"/>
        </w:rPr>
      </w:pPr>
      <w:r>
        <w:rPr>
          <w:rFonts w:cs="Times New Roman"/>
        </w:rPr>
        <w:t xml:space="preserve">Acceptable </w:t>
      </w:r>
      <w:r w:rsidRPr="00F72269">
        <w:rPr>
          <w:rFonts w:cs="Times New Roman"/>
        </w:rPr>
        <w:t>student evaluations administered as per departmental guidelines</w:t>
      </w:r>
    </w:p>
    <w:p w:rsidR="0050525F" w:rsidRPr="001213E3" w:rsidRDefault="0050525F" w:rsidP="0050525F">
      <w:pPr>
        <w:widowControl w:val="0"/>
        <w:autoSpaceDE w:val="0"/>
        <w:autoSpaceDN w:val="0"/>
        <w:adjustRightInd w:val="0"/>
        <w:spacing w:after="240"/>
        <w:rPr>
          <w:rFonts w:cs="Times"/>
        </w:rPr>
      </w:pPr>
      <w:r w:rsidRPr="001213E3">
        <w:rPr>
          <w:rFonts w:cs="Times New Roman"/>
        </w:rPr>
        <w:t>In addition, the following materials (list not exhaustive) may be included:</w:t>
      </w:r>
    </w:p>
    <w:p w:rsidR="00F72269" w:rsidRPr="00F72269" w:rsidRDefault="0050525F" w:rsidP="00AB423A">
      <w:pPr>
        <w:pStyle w:val="ListParagraph"/>
        <w:widowControl w:val="0"/>
        <w:numPr>
          <w:ilvl w:val="0"/>
          <w:numId w:val="11"/>
        </w:numPr>
        <w:autoSpaceDE w:val="0"/>
        <w:autoSpaceDN w:val="0"/>
        <w:adjustRightInd w:val="0"/>
        <w:spacing w:after="240"/>
        <w:rPr>
          <w:rFonts w:cs="Courier New"/>
        </w:rPr>
      </w:pPr>
      <w:r w:rsidRPr="00F72269">
        <w:rPr>
          <w:rFonts w:cs="Times New Roman"/>
        </w:rPr>
        <w:t>Results of various means of teaching assessment</w:t>
      </w:r>
    </w:p>
    <w:p w:rsidR="00F72269" w:rsidRPr="00F72269" w:rsidRDefault="0050525F" w:rsidP="00AB423A">
      <w:pPr>
        <w:pStyle w:val="ListParagraph"/>
        <w:widowControl w:val="0"/>
        <w:numPr>
          <w:ilvl w:val="0"/>
          <w:numId w:val="11"/>
        </w:numPr>
        <w:autoSpaceDE w:val="0"/>
        <w:autoSpaceDN w:val="0"/>
        <w:adjustRightInd w:val="0"/>
        <w:spacing w:after="240"/>
        <w:rPr>
          <w:rFonts w:cs="Courier New"/>
        </w:rPr>
      </w:pPr>
      <w:r w:rsidRPr="00F72269">
        <w:rPr>
          <w:rFonts w:cs="Times New Roman"/>
        </w:rPr>
        <w:t>Pedagogical publications and presentations (</w:t>
      </w:r>
      <w:r w:rsidR="00F72269">
        <w:rPr>
          <w:rFonts w:cs="Times New Roman"/>
        </w:rPr>
        <w:t>p</w:t>
      </w:r>
      <w:r w:rsidRPr="00F72269">
        <w:rPr>
          <w:rFonts w:cs="Times New Roman"/>
        </w:rPr>
        <w:t>edagogical publications involving</w:t>
      </w:r>
      <w:r w:rsidR="00F72269">
        <w:rPr>
          <w:rFonts w:cs="Times New Roman"/>
        </w:rPr>
        <w:t xml:space="preserve"> </w:t>
      </w:r>
      <w:r w:rsidRPr="00F72269">
        <w:rPr>
          <w:rFonts w:cs="Times New Roman"/>
        </w:rPr>
        <w:t>research may also be counted for research)</w:t>
      </w:r>
    </w:p>
    <w:p w:rsidR="00F72269" w:rsidRPr="00F72269" w:rsidRDefault="0050525F" w:rsidP="00AB423A">
      <w:pPr>
        <w:pStyle w:val="ListParagraph"/>
        <w:widowControl w:val="0"/>
        <w:numPr>
          <w:ilvl w:val="0"/>
          <w:numId w:val="11"/>
        </w:numPr>
        <w:autoSpaceDE w:val="0"/>
        <w:autoSpaceDN w:val="0"/>
        <w:adjustRightInd w:val="0"/>
        <w:spacing w:after="240"/>
        <w:rPr>
          <w:rFonts w:cs="Courier New"/>
        </w:rPr>
      </w:pPr>
      <w:r w:rsidRPr="00F72269">
        <w:rPr>
          <w:rFonts w:cs="Times New Roman"/>
        </w:rPr>
        <w:t>Results of curricular development or other attempts to enrich student learning</w:t>
      </w:r>
    </w:p>
    <w:p w:rsidR="0050525F" w:rsidRPr="00657CC6" w:rsidRDefault="0050525F" w:rsidP="00AB423A">
      <w:pPr>
        <w:pStyle w:val="ListParagraph"/>
        <w:widowControl w:val="0"/>
        <w:numPr>
          <w:ilvl w:val="0"/>
          <w:numId w:val="11"/>
        </w:numPr>
        <w:autoSpaceDE w:val="0"/>
        <w:autoSpaceDN w:val="0"/>
        <w:adjustRightInd w:val="0"/>
        <w:spacing w:after="240"/>
        <w:rPr>
          <w:rFonts w:cs="Times"/>
        </w:rPr>
      </w:pPr>
      <w:r w:rsidRPr="00657CC6">
        <w:rPr>
          <w:rFonts w:cs="Times New Roman"/>
        </w:rPr>
        <w:t>Formative peer reviews, including reciprocal peer reviews</w:t>
      </w:r>
    </w:p>
    <w:p w:rsidR="0050525F" w:rsidRPr="001213E3" w:rsidRDefault="0050525F" w:rsidP="00657CC6">
      <w:pPr>
        <w:widowControl w:val="0"/>
        <w:autoSpaceDE w:val="0"/>
        <w:autoSpaceDN w:val="0"/>
        <w:adjustRightInd w:val="0"/>
        <w:spacing w:after="240"/>
        <w:jc w:val="center"/>
        <w:rPr>
          <w:rFonts w:cs="Times"/>
        </w:rPr>
      </w:pPr>
      <w:r w:rsidRPr="001213E3">
        <w:rPr>
          <w:rFonts w:cs="Times"/>
          <w:b/>
          <w:bCs/>
        </w:rPr>
        <w:t>EXCELLENCE</w:t>
      </w:r>
    </w:p>
    <w:p w:rsidR="0050525F" w:rsidRPr="001213E3" w:rsidRDefault="0050525F" w:rsidP="0050525F">
      <w:pPr>
        <w:widowControl w:val="0"/>
        <w:autoSpaceDE w:val="0"/>
        <w:autoSpaceDN w:val="0"/>
        <w:adjustRightInd w:val="0"/>
        <w:spacing w:after="240"/>
        <w:rPr>
          <w:rFonts w:cs="Times"/>
        </w:rPr>
      </w:pPr>
      <w:r w:rsidRPr="001213E3">
        <w:rPr>
          <w:rFonts w:cs="Times New Roman"/>
        </w:rPr>
        <w:t xml:space="preserve">Excellence in teaching means communicating with and inspiring students markedly beyond the standards of competence. </w:t>
      </w:r>
      <w:r w:rsidR="00E822B1">
        <w:rPr>
          <w:rFonts w:cs="Times New Roman"/>
        </w:rPr>
        <w:t xml:space="preserve">Cases based on excellence in teaching must include input from outside IPFW.  </w:t>
      </w:r>
      <w:r w:rsidR="00F72269">
        <w:rPr>
          <w:rFonts w:cs="Times New Roman"/>
        </w:rPr>
        <w:t>C</w:t>
      </w:r>
      <w:r w:rsidRPr="001213E3">
        <w:rPr>
          <w:rFonts w:cs="Times New Roman"/>
        </w:rPr>
        <w:t xml:space="preserve">ases based on excellence in teaching should require, </w:t>
      </w:r>
      <w:r w:rsidRPr="001213E3">
        <w:rPr>
          <w:rFonts w:cs="Times"/>
          <w:b/>
          <w:bCs/>
        </w:rPr>
        <w:t>in addition to requirements for competency</w:t>
      </w:r>
      <w:r w:rsidRPr="001213E3">
        <w:rPr>
          <w:rFonts w:cs="Times New Roman"/>
        </w:rPr>
        <w:t>:</w:t>
      </w:r>
    </w:p>
    <w:p w:rsidR="00F72269" w:rsidRPr="00F72269" w:rsidRDefault="0050525F" w:rsidP="00F72269">
      <w:pPr>
        <w:pStyle w:val="ListParagraph"/>
        <w:widowControl w:val="0"/>
        <w:numPr>
          <w:ilvl w:val="0"/>
          <w:numId w:val="12"/>
        </w:numPr>
        <w:autoSpaceDE w:val="0"/>
        <w:autoSpaceDN w:val="0"/>
        <w:adjustRightInd w:val="0"/>
        <w:spacing w:after="240"/>
        <w:rPr>
          <w:rFonts w:cs="Courier New"/>
        </w:rPr>
      </w:pPr>
      <w:r w:rsidRPr="00F72269">
        <w:rPr>
          <w:rFonts w:cs="Times New Roman"/>
        </w:rPr>
        <w:t>Course and/or curriculum design, redesign and consistent improvement of course material</w:t>
      </w:r>
    </w:p>
    <w:p w:rsidR="00F72269" w:rsidRPr="00F72269" w:rsidRDefault="0050525F" w:rsidP="00F72269">
      <w:pPr>
        <w:pStyle w:val="ListParagraph"/>
        <w:widowControl w:val="0"/>
        <w:numPr>
          <w:ilvl w:val="0"/>
          <w:numId w:val="12"/>
        </w:numPr>
        <w:autoSpaceDE w:val="0"/>
        <w:autoSpaceDN w:val="0"/>
        <w:adjustRightInd w:val="0"/>
        <w:spacing w:after="240"/>
        <w:rPr>
          <w:rFonts w:cs="Courier New"/>
        </w:rPr>
      </w:pPr>
      <w:r w:rsidRPr="00F72269">
        <w:rPr>
          <w:rFonts w:cs="Times New Roman"/>
        </w:rPr>
        <w:t>Productive reflections on student feedback</w:t>
      </w:r>
    </w:p>
    <w:p w:rsidR="00F72269" w:rsidRPr="00F72269" w:rsidRDefault="0050525F" w:rsidP="00F72269">
      <w:pPr>
        <w:pStyle w:val="ListParagraph"/>
        <w:widowControl w:val="0"/>
        <w:numPr>
          <w:ilvl w:val="0"/>
          <w:numId w:val="12"/>
        </w:numPr>
        <w:autoSpaceDE w:val="0"/>
        <w:autoSpaceDN w:val="0"/>
        <w:adjustRightInd w:val="0"/>
        <w:spacing w:after="240"/>
        <w:rPr>
          <w:rFonts w:cs="Courier New"/>
        </w:rPr>
      </w:pPr>
      <w:r w:rsidRPr="001213E3">
        <w:rPr>
          <w:rFonts w:cs="Times New Roman"/>
        </w:rPr>
        <w:t>Three summative peer reviews performed by internal reviewers (inclusive of the</w:t>
      </w:r>
      <w:r w:rsidR="00F72269">
        <w:rPr>
          <w:rFonts w:cs="Times New Roman"/>
        </w:rPr>
        <w:t xml:space="preserve"> </w:t>
      </w:r>
      <w:r w:rsidRPr="001213E3">
        <w:rPr>
          <w:rFonts w:cs="Times New Roman"/>
        </w:rPr>
        <w:t>peer reviews for competency), at least one of which must be a multi- semester</w:t>
      </w:r>
      <w:r w:rsidR="00F72269">
        <w:rPr>
          <w:rFonts w:cs="Times New Roman"/>
        </w:rPr>
        <w:t xml:space="preserve"> </w:t>
      </w:r>
      <w:r w:rsidRPr="00F72269">
        <w:rPr>
          <w:rFonts w:cs="Times New Roman"/>
        </w:rPr>
        <w:t>longitudinal review</w:t>
      </w:r>
    </w:p>
    <w:p w:rsidR="00F72269" w:rsidRPr="00F72269" w:rsidRDefault="0050525F" w:rsidP="00F72269">
      <w:pPr>
        <w:pStyle w:val="ListParagraph"/>
        <w:widowControl w:val="0"/>
        <w:numPr>
          <w:ilvl w:val="0"/>
          <w:numId w:val="12"/>
        </w:numPr>
        <w:autoSpaceDE w:val="0"/>
        <w:autoSpaceDN w:val="0"/>
        <w:adjustRightInd w:val="0"/>
        <w:spacing w:after="240"/>
        <w:rPr>
          <w:rFonts w:cs="Courier New"/>
        </w:rPr>
      </w:pPr>
      <w:r w:rsidRPr="00F72269">
        <w:rPr>
          <w:rFonts w:cs="Times New Roman"/>
        </w:rPr>
        <w:t>Fostering teaching with other faculty within and beyond the department</w:t>
      </w:r>
    </w:p>
    <w:p w:rsidR="00F72269" w:rsidRPr="00F72269" w:rsidRDefault="0050525F" w:rsidP="00F72269">
      <w:pPr>
        <w:pStyle w:val="ListParagraph"/>
        <w:widowControl w:val="0"/>
        <w:numPr>
          <w:ilvl w:val="0"/>
          <w:numId w:val="12"/>
        </w:numPr>
        <w:autoSpaceDE w:val="0"/>
        <w:autoSpaceDN w:val="0"/>
        <w:adjustRightInd w:val="0"/>
        <w:spacing w:after="240"/>
        <w:rPr>
          <w:rFonts w:cs="Courier New"/>
        </w:rPr>
      </w:pPr>
      <w:r w:rsidRPr="00F72269">
        <w:rPr>
          <w:rFonts w:cs="Times New Roman"/>
        </w:rPr>
        <w:t>Participation in organizations promoting the scholarship of teaching</w:t>
      </w:r>
    </w:p>
    <w:p w:rsidR="00F72269" w:rsidRPr="00F72269" w:rsidRDefault="0050525F" w:rsidP="00F72269">
      <w:pPr>
        <w:pStyle w:val="ListParagraph"/>
        <w:widowControl w:val="0"/>
        <w:numPr>
          <w:ilvl w:val="0"/>
          <w:numId w:val="12"/>
        </w:numPr>
        <w:autoSpaceDE w:val="0"/>
        <w:autoSpaceDN w:val="0"/>
        <w:adjustRightInd w:val="0"/>
        <w:spacing w:after="240"/>
        <w:rPr>
          <w:rFonts w:cs="Times New Roman"/>
        </w:rPr>
      </w:pPr>
      <w:r w:rsidRPr="001213E3">
        <w:rPr>
          <w:rFonts w:cs="Times New Roman"/>
        </w:rPr>
        <w:t xml:space="preserve">Presentations and/or workshops on teaching at local, regional and </w:t>
      </w:r>
      <w:r w:rsidR="00F72269" w:rsidRPr="001213E3">
        <w:rPr>
          <w:rFonts w:cs="Times New Roman"/>
        </w:rPr>
        <w:t>national</w:t>
      </w:r>
      <w:r w:rsidR="00F72269" w:rsidRPr="00F72269">
        <w:rPr>
          <w:rFonts w:cs="Times New Roman"/>
        </w:rPr>
        <w:t xml:space="preserve"> conferences</w:t>
      </w:r>
      <w:r w:rsidRPr="00F72269">
        <w:rPr>
          <w:rFonts w:cs="Times New Roman"/>
        </w:rPr>
        <w:t> </w:t>
      </w:r>
    </w:p>
    <w:p w:rsidR="0050525F" w:rsidRPr="001213E3" w:rsidRDefault="0050525F" w:rsidP="0050525F">
      <w:pPr>
        <w:widowControl w:val="0"/>
        <w:autoSpaceDE w:val="0"/>
        <w:autoSpaceDN w:val="0"/>
        <w:adjustRightInd w:val="0"/>
        <w:spacing w:after="240"/>
        <w:rPr>
          <w:rFonts w:cs="Times"/>
        </w:rPr>
      </w:pPr>
      <w:r w:rsidRPr="001213E3">
        <w:rPr>
          <w:rFonts w:cs="Times New Roman"/>
        </w:rPr>
        <w:t>Evidence of excellence in teaching (list not exhaustive) might also include:</w:t>
      </w:r>
    </w:p>
    <w:p w:rsidR="00F72269" w:rsidRPr="00F72269" w:rsidRDefault="0050525F" w:rsidP="00657CC6">
      <w:pPr>
        <w:pStyle w:val="ListParagraph"/>
        <w:widowControl w:val="0"/>
        <w:numPr>
          <w:ilvl w:val="0"/>
          <w:numId w:val="13"/>
        </w:numPr>
        <w:autoSpaceDE w:val="0"/>
        <w:autoSpaceDN w:val="0"/>
        <w:adjustRightInd w:val="0"/>
        <w:spacing w:after="240"/>
        <w:rPr>
          <w:rFonts w:cs="Courier New"/>
        </w:rPr>
      </w:pPr>
      <w:r w:rsidRPr="00F72269">
        <w:rPr>
          <w:rFonts w:cs="Times New Roman"/>
        </w:rPr>
        <w:lastRenderedPageBreak/>
        <w:t>Evidence of outstanding student learning</w:t>
      </w:r>
    </w:p>
    <w:p w:rsidR="00F72269" w:rsidRPr="00F72269" w:rsidRDefault="00657CC6" w:rsidP="00657CC6">
      <w:pPr>
        <w:pStyle w:val="ListParagraph"/>
        <w:widowControl w:val="0"/>
        <w:numPr>
          <w:ilvl w:val="0"/>
          <w:numId w:val="13"/>
        </w:numPr>
        <w:autoSpaceDE w:val="0"/>
        <w:autoSpaceDN w:val="0"/>
        <w:adjustRightInd w:val="0"/>
        <w:spacing w:after="240"/>
        <w:rPr>
          <w:rFonts w:cs="Courier New"/>
        </w:rPr>
      </w:pPr>
      <w:r>
        <w:rPr>
          <w:rFonts w:cs="Times New Roman"/>
        </w:rPr>
        <w:t>S</w:t>
      </w:r>
      <w:r w:rsidR="0050525F" w:rsidRPr="00F72269">
        <w:rPr>
          <w:rFonts w:cs="Times New Roman"/>
        </w:rPr>
        <w:t>ignificant pedagogically related publications</w:t>
      </w:r>
    </w:p>
    <w:p w:rsidR="00F72269" w:rsidRPr="00F72269" w:rsidRDefault="0050525F" w:rsidP="00657CC6">
      <w:pPr>
        <w:pStyle w:val="ListParagraph"/>
        <w:widowControl w:val="0"/>
        <w:numPr>
          <w:ilvl w:val="0"/>
          <w:numId w:val="13"/>
        </w:numPr>
        <w:autoSpaceDE w:val="0"/>
        <w:autoSpaceDN w:val="0"/>
        <w:adjustRightInd w:val="0"/>
        <w:spacing w:after="240"/>
        <w:rPr>
          <w:rFonts w:cs="Courier New"/>
        </w:rPr>
      </w:pPr>
      <w:r w:rsidRPr="00F72269">
        <w:rPr>
          <w:rFonts w:cs="Times New Roman"/>
        </w:rPr>
        <w:t>Exceptional and original classroom materials</w:t>
      </w:r>
    </w:p>
    <w:p w:rsidR="00F72269" w:rsidRPr="00657CC6" w:rsidRDefault="0050525F" w:rsidP="00657CC6">
      <w:pPr>
        <w:pStyle w:val="ListParagraph"/>
        <w:widowControl w:val="0"/>
        <w:numPr>
          <w:ilvl w:val="0"/>
          <w:numId w:val="13"/>
        </w:numPr>
        <w:autoSpaceDE w:val="0"/>
        <w:autoSpaceDN w:val="0"/>
        <w:adjustRightInd w:val="0"/>
        <w:spacing w:after="240"/>
        <w:rPr>
          <w:rFonts w:cs="Courier New"/>
        </w:rPr>
      </w:pPr>
      <w:r w:rsidRPr="00F72269">
        <w:rPr>
          <w:rFonts w:cs="Times New Roman"/>
        </w:rPr>
        <w:t>Recognized student achievement</w:t>
      </w:r>
      <w:r w:rsidR="00657CC6">
        <w:rPr>
          <w:rFonts w:cs="Times New Roman"/>
        </w:rPr>
        <w:t>s</w:t>
      </w:r>
    </w:p>
    <w:p w:rsidR="00F72269" w:rsidRPr="00657CC6" w:rsidRDefault="0050525F" w:rsidP="00657CC6">
      <w:pPr>
        <w:pStyle w:val="ListParagraph"/>
        <w:widowControl w:val="0"/>
        <w:numPr>
          <w:ilvl w:val="0"/>
          <w:numId w:val="13"/>
        </w:numPr>
        <w:autoSpaceDE w:val="0"/>
        <w:autoSpaceDN w:val="0"/>
        <w:adjustRightInd w:val="0"/>
        <w:spacing w:after="240"/>
        <w:rPr>
          <w:rFonts w:cs="Courier New"/>
        </w:rPr>
      </w:pPr>
      <w:r w:rsidRPr="00657CC6">
        <w:rPr>
          <w:rFonts w:cs="Times New Roman"/>
        </w:rPr>
        <w:t>Internal and/or external recognition and/or awards for teaching</w:t>
      </w:r>
    </w:p>
    <w:p w:rsidR="00F72269" w:rsidRPr="00657CC6" w:rsidRDefault="0050525F" w:rsidP="00657CC6">
      <w:pPr>
        <w:pStyle w:val="ListParagraph"/>
        <w:widowControl w:val="0"/>
        <w:numPr>
          <w:ilvl w:val="0"/>
          <w:numId w:val="13"/>
        </w:numPr>
        <w:autoSpaceDE w:val="0"/>
        <w:autoSpaceDN w:val="0"/>
        <w:adjustRightInd w:val="0"/>
        <w:spacing w:after="240"/>
        <w:rPr>
          <w:rFonts w:cs="Courier New"/>
        </w:rPr>
      </w:pPr>
      <w:r w:rsidRPr="00657CC6">
        <w:rPr>
          <w:rFonts w:cs="Times New Roman"/>
        </w:rPr>
        <w:t>Former student letters and/or surveys attesting to teaching effectiveness</w:t>
      </w:r>
    </w:p>
    <w:p w:rsidR="0050525F" w:rsidRPr="00657CC6" w:rsidRDefault="0050525F" w:rsidP="00657CC6">
      <w:pPr>
        <w:pStyle w:val="ListParagraph"/>
        <w:widowControl w:val="0"/>
        <w:numPr>
          <w:ilvl w:val="0"/>
          <w:numId w:val="13"/>
        </w:numPr>
        <w:autoSpaceDE w:val="0"/>
        <w:autoSpaceDN w:val="0"/>
        <w:adjustRightInd w:val="0"/>
        <w:spacing w:after="240"/>
        <w:rPr>
          <w:rFonts w:cs="Courier New"/>
        </w:rPr>
      </w:pPr>
      <w:r w:rsidRPr="00657CC6">
        <w:rPr>
          <w:rFonts w:cs="Times New Roman"/>
        </w:rPr>
        <w:t>Mentoring of colleagues and students</w:t>
      </w:r>
    </w:p>
    <w:p w:rsidR="0050525F" w:rsidRPr="001213E3" w:rsidRDefault="0050525F" w:rsidP="0050525F">
      <w:pPr>
        <w:widowControl w:val="0"/>
        <w:autoSpaceDE w:val="0"/>
        <w:autoSpaceDN w:val="0"/>
        <w:adjustRightInd w:val="0"/>
        <w:spacing w:after="240"/>
        <w:rPr>
          <w:rFonts w:cs="Times"/>
          <w:b/>
          <w:bCs/>
        </w:rPr>
      </w:pPr>
    </w:p>
    <w:p w:rsidR="0050525F" w:rsidRPr="001213E3" w:rsidRDefault="0050525F" w:rsidP="0050525F">
      <w:pPr>
        <w:widowControl w:val="0"/>
        <w:autoSpaceDE w:val="0"/>
        <w:autoSpaceDN w:val="0"/>
        <w:adjustRightInd w:val="0"/>
        <w:spacing w:after="240"/>
        <w:rPr>
          <w:rFonts w:cs="Times"/>
          <w:b/>
          <w:bCs/>
        </w:rPr>
      </w:pPr>
    </w:p>
    <w:p w:rsidR="0050525F" w:rsidRPr="001213E3" w:rsidRDefault="0050525F" w:rsidP="0050525F">
      <w:pPr>
        <w:widowControl w:val="0"/>
        <w:autoSpaceDE w:val="0"/>
        <w:autoSpaceDN w:val="0"/>
        <w:adjustRightInd w:val="0"/>
        <w:spacing w:after="240"/>
        <w:rPr>
          <w:rFonts w:cs="Times"/>
          <w:b/>
          <w:bCs/>
        </w:rPr>
      </w:pPr>
    </w:p>
    <w:p w:rsidR="00303D73" w:rsidRPr="001213E3" w:rsidRDefault="00303D73" w:rsidP="009E537E">
      <w:pPr>
        <w:widowControl w:val="0"/>
        <w:autoSpaceDE w:val="0"/>
        <w:autoSpaceDN w:val="0"/>
        <w:adjustRightInd w:val="0"/>
        <w:spacing w:after="240"/>
      </w:pPr>
    </w:p>
    <w:sectPr w:rsidR="00303D73" w:rsidRPr="001213E3" w:rsidSect="005052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11CFB"/>
    <w:multiLevelType w:val="hybridMultilevel"/>
    <w:tmpl w:val="197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93DB2"/>
    <w:multiLevelType w:val="hybridMultilevel"/>
    <w:tmpl w:val="156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A7E47"/>
    <w:multiLevelType w:val="hybridMultilevel"/>
    <w:tmpl w:val="9D1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46B80"/>
    <w:multiLevelType w:val="multilevel"/>
    <w:tmpl w:val="317CC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975BD5"/>
    <w:multiLevelType w:val="hybridMultilevel"/>
    <w:tmpl w:val="6BD8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46A5B"/>
    <w:multiLevelType w:val="hybridMultilevel"/>
    <w:tmpl w:val="D9F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37A65"/>
    <w:multiLevelType w:val="hybridMultilevel"/>
    <w:tmpl w:val="AA0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0589A"/>
    <w:multiLevelType w:val="hybridMultilevel"/>
    <w:tmpl w:val="841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F0F88"/>
    <w:multiLevelType w:val="hybridMultilevel"/>
    <w:tmpl w:val="1FFE98C8"/>
    <w:lvl w:ilvl="0" w:tplc="D9587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6081E"/>
    <w:multiLevelType w:val="hybridMultilevel"/>
    <w:tmpl w:val="317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02EF8"/>
    <w:multiLevelType w:val="hybridMultilevel"/>
    <w:tmpl w:val="3E76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A2B04"/>
    <w:multiLevelType w:val="hybridMultilevel"/>
    <w:tmpl w:val="C2C0F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11"/>
  </w:num>
  <w:num w:numId="6">
    <w:abstractNumId w:val="5"/>
  </w:num>
  <w:num w:numId="7">
    <w:abstractNumId w:val="7"/>
  </w:num>
  <w:num w:numId="8">
    <w:abstractNumId w:val="1"/>
  </w:num>
  <w:num w:numId="9">
    <w:abstractNumId w:val="12"/>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5F"/>
    <w:rsid w:val="001213E3"/>
    <w:rsid w:val="00161FF7"/>
    <w:rsid w:val="00242550"/>
    <w:rsid w:val="002446FB"/>
    <w:rsid w:val="00303D73"/>
    <w:rsid w:val="00431645"/>
    <w:rsid w:val="00446D98"/>
    <w:rsid w:val="0050525F"/>
    <w:rsid w:val="005354B9"/>
    <w:rsid w:val="00536352"/>
    <w:rsid w:val="00552582"/>
    <w:rsid w:val="00606CBC"/>
    <w:rsid w:val="00653D78"/>
    <w:rsid w:val="00657CC6"/>
    <w:rsid w:val="00760A59"/>
    <w:rsid w:val="00771DEC"/>
    <w:rsid w:val="00782A27"/>
    <w:rsid w:val="00787587"/>
    <w:rsid w:val="007B08BA"/>
    <w:rsid w:val="00907A4D"/>
    <w:rsid w:val="009E537E"/>
    <w:rsid w:val="00A14929"/>
    <w:rsid w:val="00A32C97"/>
    <w:rsid w:val="00A74F6F"/>
    <w:rsid w:val="00AB423A"/>
    <w:rsid w:val="00B53458"/>
    <w:rsid w:val="00B77DDE"/>
    <w:rsid w:val="00C8614C"/>
    <w:rsid w:val="00DA47D2"/>
    <w:rsid w:val="00E822B1"/>
    <w:rsid w:val="00F07FD1"/>
    <w:rsid w:val="00F21D05"/>
    <w:rsid w:val="00F7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6973E39-E5AC-4849-94BA-D88F82D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25F"/>
    <w:rPr>
      <w:rFonts w:ascii="Lucida Grande" w:hAnsi="Lucida Grande" w:cs="Lucida Grande"/>
      <w:sz w:val="18"/>
      <w:szCs w:val="18"/>
    </w:rPr>
  </w:style>
  <w:style w:type="paragraph" w:styleId="ListParagraph">
    <w:name w:val="List Paragraph"/>
    <w:basedOn w:val="Normal"/>
    <w:uiPriority w:val="34"/>
    <w:qFormat/>
    <w:rsid w:val="00DA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Huffman</dc:creator>
  <cp:keywords/>
  <dc:description/>
  <cp:lastModifiedBy>Hardin L Aasand</cp:lastModifiedBy>
  <cp:revision>2</cp:revision>
  <cp:lastPrinted>2015-10-14T12:59:00Z</cp:lastPrinted>
  <dcterms:created xsi:type="dcterms:W3CDTF">2016-01-05T15:42:00Z</dcterms:created>
  <dcterms:modified xsi:type="dcterms:W3CDTF">2016-01-05T15:42:00Z</dcterms:modified>
</cp:coreProperties>
</file>